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94CAF7" w14:textId="58B9482C" w:rsidR="004118E6" w:rsidRPr="00C55A61" w:rsidRDefault="004118E6" w:rsidP="00457C9F">
      <w:pPr>
        <w:spacing w:after="0" w:line="480" w:lineRule="auto"/>
        <w:rPr>
          <w:rFonts w:ascii="Times New Roman" w:hAnsi="Times New Roman" w:cs="Times New Roman"/>
          <w:sz w:val="24"/>
          <w:szCs w:val="24"/>
        </w:rPr>
      </w:pPr>
    </w:p>
    <w:p w14:paraId="5712A044" w14:textId="009B3A35" w:rsidR="00A865AB" w:rsidRPr="00C55A61" w:rsidRDefault="00A865AB" w:rsidP="00457C9F">
      <w:pPr>
        <w:spacing w:after="0" w:line="480" w:lineRule="auto"/>
        <w:rPr>
          <w:rFonts w:ascii="Times New Roman" w:hAnsi="Times New Roman" w:cs="Times New Roman"/>
          <w:sz w:val="24"/>
          <w:szCs w:val="24"/>
        </w:rPr>
      </w:pPr>
    </w:p>
    <w:p w14:paraId="1D9F8859" w14:textId="77777777" w:rsidR="00A865AB" w:rsidRPr="00C55A61" w:rsidRDefault="00A865AB" w:rsidP="00457C9F">
      <w:pPr>
        <w:spacing w:after="0" w:line="480" w:lineRule="auto"/>
        <w:jc w:val="center"/>
        <w:rPr>
          <w:rFonts w:ascii="Times New Roman" w:hAnsi="Times New Roman" w:cs="Times New Roman"/>
          <w:sz w:val="24"/>
          <w:szCs w:val="24"/>
        </w:rPr>
      </w:pPr>
    </w:p>
    <w:p w14:paraId="53E00104" w14:textId="77777777" w:rsidR="00A865AB" w:rsidRPr="00C55A61" w:rsidRDefault="00A865AB" w:rsidP="00457C9F">
      <w:pPr>
        <w:spacing w:after="0" w:line="480" w:lineRule="auto"/>
        <w:jc w:val="center"/>
        <w:rPr>
          <w:rFonts w:ascii="Times New Roman" w:hAnsi="Times New Roman" w:cs="Times New Roman"/>
          <w:sz w:val="24"/>
          <w:szCs w:val="24"/>
        </w:rPr>
      </w:pPr>
    </w:p>
    <w:p w14:paraId="6B3B7154" w14:textId="77777777" w:rsidR="00A865AB" w:rsidRPr="00C55A61" w:rsidRDefault="00A865AB" w:rsidP="00457C9F">
      <w:pPr>
        <w:spacing w:after="0" w:line="480" w:lineRule="auto"/>
        <w:jc w:val="center"/>
        <w:rPr>
          <w:rFonts w:ascii="Times New Roman" w:hAnsi="Times New Roman" w:cs="Times New Roman"/>
          <w:sz w:val="24"/>
          <w:szCs w:val="24"/>
        </w:rPr>
      </w:pPr>
    </w:p>
    <w:p w14:paraId="1F164687" w14:textId="77777777" w:rsidR="00A865AB" w:rsidRPr="00C55A61" w:rsidRDefault="00A865AB" w:rsidP="00457C9F">
      <w:pPr>
        <w:spacing w:after="0" w:line="480" w:lineRule="auto"/>
        <w:jc w:val="center"/>
        <w:rPr>
          <w:rFonts w:ascii="Times New Roman" w:hAnsi="Times New Roman" w:cs="Times New Roman"/>
          <w:sz w:val="24"/>
          <w:szCs w:val="24"/>
        </w:rPr>
      </w:pPr>
    </w:p>
    <w:p w14:paraId="726194C3" w14:textId="77777777" w:rsidR="00A865AB" w:rsidRPr="00C55A61" w:rsidRDefault="00A865AB" w:rsidP="00457C9F">
      <w:pPr>
        <w:spacing w:after="0" w:line="480" w:lineRule="auto"/>
        <w:jc w:val="center"/>
        <w:rPr>
          <w:rFonts w:ascii="Times New Roman" w:hAnsi="Times New Roman" w:cs="Times New Roman"/>
          <w:sz w:val="24"/>
          <w:szCs w:val="24"/>
        </w:rPr>
      </w:pPr>
    </w:p>
    <w:p w14:paraId="036BB8C8" w14:textId="77777777" w:rsidR="00A865AB" w:rsidRPr="00C55A61" w:rsidRDefault="00A865AB" w:rsidP="00457C9F">
      <w:pPr>
        <w:spacing w:after="0" w:line="480" w:lineRule="auto"/>
        <w:jc w:val="center"/>
        <w:rPr>
          <w:rFonts w:ascii="Times New Roman" w:hAnsi="Times New Roman" w:cs="Times New Roman"/>
          <w:sz w:val="24"/>
          <w:szCs w:val="24"/>
        </w:rPr>
      </w:pPr>
    </w:p>
    <w:p w14:paraId="5006E12F" w14:textId="77777777" w:rsidR="00A865AB" w:rsidRPr="00C55A61" w:rsidRDefault="00A865AB" w:rsidP="00457C9F">
      <w:pPr>
        <w:spacing w:after="0" w:line="480" w:lineRule="auto"/>
        <w:jc w:val="center"/>
        <w:rPr>
          <w:rFonts w:ascii="Times New Roman" w:hAnsi="Times New Roman" w:cs="Times New Roman"/>
          <w:sz w:val="24"/>
          <w:szCs w:val="24"/>
        </w:rPr>
      </w:pPr>
    </w:p>
    <w:p w14:paraId="2DF63D7C" w14:textId="77777777" w:rsidR="00A865AB" w:rsidRPr="00C55A61" w:rsidRDefault="00A865AB" w:rsidP="00457C9F">
      <w:pPr>
        <w:spacing w:after="0" w:line="480" w:lineRule="auto"/>
        <w:jc w:val="center"/>
        <w:rPr>
          <w:rFonts w:ascii="Times New Roman" w:hAnsi="Times New Roman" w:cs="Times New Roman"/>
          <w:sz w:val="24"/>
          <w:szCs w:val="24"/>
        </w:rPr>
      </w:pPr>
    </w:p>
    <w:p w14:paraId="7F7B889D" w14:textId="77777777" w:rsidR="00A865AB" w:rsidRPr="00C55A61" w:rsidRDefault="00A865AB" w:rsidP="00457C9F">
      <w:pPr>
        <w:spacing w:after="0" w:line="480" w:lineRule="auto"/>
        <w:jc w:val="center"/>
        <w:rPr>
          <w:rFonts w:ascii="Times New Roman" w:hAnsi="Times New Roman" w:cs="Times New Roman"/>
          <w:sz w:val="24"/>
          <w:szCs w:val="24"/>
        </w:rPr>
      </w:pPr>
    </w:p>
    <w:p w14:paraId="2735240C" w14:textId="77777777" w:rsidR="00A865AB" w:rsidRPr="00C55A61" w:rsidRDefault="00A865AB" w:rsidP="00457C9F">
      <w:pPr>
        <w:spacing w:after="0" w:line="480" w:lineRule="auto"/>
        <w:jc w:val="center"/>
        <w:rPr>
          <w:rFonts w:ascii="Times New Roman" w:hAnsi="Times New Roman" w:cs="Times New Roman"/>
          <w:sz w:val="24"/>
          <w:szCs w:val="24"/>
        </w:rPr>
      </w:pPr>
    </w:p>
    <w:p w14:paraId="5E14AD23" w14:textId="4134F203" w:rsidR="00A865AB" w:rsidRPr="00C55A61" w:rsidRDefault="00A865AB" w:rsidP="00457C9F">
      <w:pPr>
        <w:spacing w:after="0" w:line="480" w:lineRule="auto"/>
        <w:jc w:val="center"/>
        <w:rPr>
          <w:rFonts w:ascii="Times New Roman" w:hAnsi="Times New Roman" w:cs="Times New Roman"/>
          <w:sz w:val="24"/>
          <w:szCs w:val="24"/>
        </w:rPr>
      </w:pPr>
      <w:r w:rsidRPr="00C55A61">
        <w:rPr>
          <w:rFonts w:ascii="Times New Roman" w:hAnsi="Times New Roman" w:cs="Times New Roman"/>
          <w:sz w:val="24"/>
          <w:szCs w:val="24"/>
        </w:rPr>
        <w:t>Housing Associations</w:t>
      </w:r>
    </w:p>
    <w:p w14:paraId="17079784" w14:textId="76624147" w:rsidR="00A865AB" w:rsidRPr="00C55A61" w:rsidRDefault="00A865AB" w:rsidP="00457C9F">
      <w:pPr>
        <w:spacing w:after="0" w:line="480" w:lineRule="auto"/>
        <w:jc w:val="center"/>
        <w:rPr>
          <w:rFonts w:ascii="Times New Roman" w:hAnsi="Times New Roman" w:cs="Times New Roman"/>
          <w:sz w:val="24"/>
          <w:szCs w:val="24"/>
        </w:rPr>
      </w:pPr>
      <w:r w:rsidRPr="00C55A61">
        <w:rPr>
          <w:rFonts w:ascii="Times New Roman" w:hAnsi="Times New Roman" w:cs="Times New Roman"/>
          <w:sz w:val="24"/>
          <w:szCs w:val="24"/>
        </w:rPr>
        <w:t>Student’s Name</w:t>
      </w:r>
    </w:p>
    <w:p w14:paraId="2F474988" w14:textId="7000B51C" w:rsidR="00A865AB" w:rsidRPr="00C55A61" w:rsidRDefault="00A865AB" w:rsidP="00457C9F">
      <w:pPr>
        <w:spacing w:after="0" w:line="480" w:lineRule="auto"/>
        <w:jc w:val="center"/>
        <w:rPr>
          <w:rFonts w:ascii="Times New Roman" w:hAnsi="Times New Roman" w:cs="Times New Roman"/>
          <w:sz w:val="24"/>
          <w:szCs w:val="24"/>
        </w:rPr>
      </w:pPr>
      <w:r w:rsidRPr="00C55A61">
        <w:rPr>
          <w:rFonts w:ascii="Times New Roman" w:hAnsi="Times New Roman" w:cs="Times New Roman"/>
          <w:sz w:val="24"/>
          <w:szCs w:val="24"/>
        </w:rPr>
        <w:t>Institution Affiliation</w:t>
      </w:r>
    </w:p>
    <w:p w14:paraId="4752BEF6" w14:textId="3CB4BAB9" w:rsidR="00A865AB" w:rsidRPr="00C55A61" w:rsidRDefault="00A865AB" w:rsidP="00457C9F">
      <w:pPr>
        <w:spacing w:after="0" w:line="480" w:lineRule="auto"/>
        <w:jc w:val="center"/>
        <w:rPr>
          <w:rFonts w:ascii="Times New Roman" w:hAnsi="Times New Roman" w:cs="Times New Roman"/>
          <w:sz w:val="24"/>
          <w:szCs w:val="24"/>
        </w:rPr>
      </w:pPr>
    </w:p>
    <w:p w14:paraId="7C6C274A" w14:textId="5C2C4B26" w:rsidR="00A865AB" w:rsidRPr="00C55A61" w:rsidRDefault="00A865AB" w:rsidP="00457C9F">
      <w:pPr>
        <w:spacing w:after="0" w:line="480" w:lineRule="auto"/>
        <w:jc w:val="center"/>
        <w:rPr>
          <w:rFonts w:ascii="Times New Roman" w:hAnsi="Times New Roman" w:cs="Times New Roman"/>
          <w:sz w:val="24"/>
          <w:szCs w:val="24"/>
        </w:rPr>
      </w:pPr>
    </w:p>
    <w:p w14:paraId="2A4BE804" w14:textId="3D10BAEB" w:rsidR="00A865AB" w:rsidRPr="00C55A61" w:rsidRDefault="00A865AB" w:rsidP="00457C9F">
      <w:pPr>
        <w:spacing w:after="0" w:line="480" w:lineRule="auto"/>
        <w:jc w:val="center"/>
        <w:rPr>
          <w:rFonts w:ascii="Times New Roman" w:hAnsi="Times New Roman" w:cs="Times New Roman"/>
          <w:sz w:val="24"/>
          <w:szCs w:val="24"/>
        </w:rPr>
      </w:pPr>
    </w:p>
    <w:p w14:paraId="45DF9E91" w14:textId="2ED2E84F" w:rsidR="00A865AB" w:rsidRPr="00C55A61" w:rsidRDefault="00A865AB" w:rsidP="00457C9F">
      <w:pPr>
        <w:spacing w:after="0" w:line="480" w:lineRule="auto"/>
        <w:jc w:val="center"/>
        <w:rPr>
          <w:rFonts w:ascii="Times New Roman" w:hAnsi="Times New Roman" w:cs="Times New Roman"/>
          <w:sz w:val="24"/>
          <w:szCs w:val="24"/>
        </w:rPr>
      </w:pPr>
    </w:p>
    <w:p w14:paraId="6C26EB0C" w14:textId="2C142F16" w:rsidR="00A865AB" w:rsidRPr="00C55A61" w:rsidRDefault="00A865AB" w:rsidP="00457C9F">
      <w:pPr>
        <w:spacing w:after="0" w:line="480" w:lineRule="auto"/>
        <w:jc w:val="center"/>
        <w:rPr>
          <w:rFonts w:ascii="Times New Roman" w:hAnsi="Times New Roman" w:cs="Times New Roman"/>
          <w:sz w:val="24"/>
          <w:szCs w:val="24"/>
        </w:rPr>
      </w:pPr>
    </w:p>
    <w:p w14:paraId="1D5F1F0F" w14:textId="65374189" w:rsidR="00A865AB" w:rsidRPr="00C55A61" w:rsidRDefault="00A865AB" w:rsidP="00457C9F">
      <w:pPr>
        <w:spacing w:after="0" w:line="480" w:lineRule="auto"/>
        <w:jc w:val="center"/>
        <w:rPr>
          <w:rFonts w:ascii="Times New Roman" w:hAnsi="Times New Roman" w:cs="Times New Roman"/>
          <w:sz w:val="24"/>
          <w:szCs w:val="24"/>
        </w:rPr>
      </w:pPr>
    </w:p>
    <w:p w14:paraId="13DA22BA" w14:textId="3272FA03" w:rsidR="00A865AB" w:rsidRPr="00C55A61" w:rsidRDefault="00A865AB" w:rsidP="00457C9F">
      <w:pPr>
        <w:spacing w:after="0" w:line="480" w:lineRule="auto"/>
        <w:jc w:val="center"/>
        <w:rPr>
          <w:rFonts w:ascii="Times New Roman" w:hAnsi="Times New Roman" w:cs="Times New Roman"/>
          <w:sz w:val="24"/>
          <w:szCs w:val="24"/>
        </w:rPr>
      </w:pPr>
    </w:p>
    <w:p w14:paraId="7FEE00A7" w14:textId="689C1661" w:rsidR="00A865AB" w:rsidRPr="00C55A61" w:rsidRDefault="00A865AB" w:rsidP="00457C9F">
      <w:pPr>
        <w:spacing w:after="0" w:line="480" w:lineRule="auto"/>
        <w:jc w:val="center"/>
        <w:rPr>
          <w:rFonts w:ascii="Times New Roman" w:hAnsi="Times New Roman" w:cs="Times New Roman"/>
          <w:sz w:val="24"/>
          <w:szCs w:val="24"/>
        </w:rPr>
      </w:pPr>
    </w:p>
    <w:p w14:paraId="474A9D2D" w14:textId="77777777" w:rsidR="00502C6D" w:rsidRPr="00C55A61" w:rsidRDefault="00502C6D" w:rsidP="00502C6D">
      <w:pPr>
        <w:spacing w:after="0" w:line="480" w:lineRule="auto"/>
        <w:rPr>
          <w:rFonts w:ascii="Times New Roman" w:hAnsi="Times New Roman" w:cs="Times New Roman"/>
          <w:sz w:val="24"/>
          <w:szCs w:val="24"/>
        </w:rPr>
      </w:pPr>
    </w:p>
    <w:p w14:paraId="32C785FD" w14:textId="147C9F3E" w:rsidR="00147B6F" w:rsidRPr="00C55A61" w:rsidRDefault="00A865AB" w:rsidP="00502C6D">
      <w:pPr>
        <w:spacing w:after="0" w:line="480" w:lineRule="auto"/>
        <w:jc w:val="center"/>
        <w:rPr>
          <w:rFonts w:ascii="Times New Roman" w:hAnsi="Times New Roman" w:cs="Times New Roman"/>
          <w:sz w:val="24"/>
          <w:szCs w:val="24"/>
        </w:rPr>
      </w:pPr>
      <w:r w:rsidRPr="00C55A61">
        <w:rPr>
          <w:rFonts w:ascii="Times New Roman" w:hAnsi="Times New Roman" w:cs="Times New Roman"/>
          <w:sz w:val="24"/>
          <w:szCs w:val="24"/>
        </w:rPr>
        <w:t>Housing Associations</w:t>
      </w:r>
    </w:p>
    <w:p w14:paraId="3644DACD" w14:textId="0A873610" w:rsidR="00A865AB" w:rsidRPr="00C55A61" w:rsidRDefault="00147B6F" w:rsidP="00457C9F">
      <w:pPr>
        <w:spacing w:after="0" w:line="480" w:lineRule="auto"/>
        <w:jc w:val="center"/>
        <w:rPr>
          <w:rFonts w:ascii="Times New Roman" w:hAnsi="Times New Roman" w:cs="Times New Roman"/>
          <w:sz w:val="24"/>
          <w:szCs w:val="24"/>
        </w:rPr>
      </w:pPr>
      <w:r w:rsidRPr="00C55A61">
        <w:rPr>
          <w:rFonts w:ascii="Times New Roman" w:hAnsi="Times New Roman" w:cs="Times New Roman"/>
          <w:sz w:val="24"/>
          <w:szCs w:val="24"/>
        </w:rPr>
        <w:t xml:space="preserve">Introduction </w:t>
      </w:r>
      <w:r w:rsidR="00A865AB" w:rsidRPr="00C55A61">
        <w:rPr>
          <w:rFonts w:ascii="Times New Roman" w:hAnsi="Times New Roman" w:cs="Times New Roman"/>
          <w:sz w:val="24"/>
          <w:szCs w:val="24"/>
        </w:rPr>
        <w:t xml:space="preserve">                                                                                </w:t>
      </w:r>
    </w:p>
    <w:p w14:paraId="6CDE47F8" w14:textId="725B5234" w:rsidR="00A865AB" w:rsidRPr="00C55A61" w:rsidRDefault="00150BF4" w:rsidP="00457C9F">
      <w:pPr>
        <w:spacing w:after="0" w:line="480" w:lineRule="auto"/>
        <w:rPr>
          <w:rFonts w:ascii="Times New Roman" w:hAnsi="Times New Roman" w:cs="Times New Roman"/>
          <w:sz w:val="24"/>
          <w:szCs w:val="24"/>
        </w:rPr>
      </w:pPr>
      <w:r w:rsidRPr="00C55A61">
        <w:rPr>
          <w:rFonts w:ascii="Times New Roman" w:hAnsi="Times New Roman" w:cs="Times New Roman"/>
          <w:sz w:val="24"/>
          <w:szCs w:val="24"/>
        </w:rPr>
        <w:tab/>
        <w:t>The two main aims o</w:t>
      </w:r>
      <w:r w:rsidR="00D21F93" w:rsidRPr="00C55A61">
        <w:rPr>
          <w:rFonts w:ascii="Times New Roman" w:hAnsi="Times New Roman" w:cs="Times New Roman"/>
          <w:sz w:val="24"/>
          <w:szCs w:val="24"/>
        </w:rPr>
        <w:t>f</w:t>
      </w:r>
      <w:r w:rsidRPr="00C55A61">
        <w:rPr>
          <w:rFonts w:ascii="Times New Roman" w:hAnsi="Times New Roman" w:cs="Times New Roman"/>
          <w:sz w:val="24"/>
          <w:szCs w:val="24"/>
        </w:rPr>
        <w:t xml:space="preserve"> this case are fully satisfied by developing an understanding of why the enterprise risk management is important. Showing also why modern charities are active organizations that also face critical risks.</w:t>
      </w:r>
      <w:r w:rsidR="002354A5" w:rsidRPr="00C55A61">
        <w:rPr>
          <w:rFonts w:ascii="Times New Roman" w:hAnsi="Times New Roman" w:cs="Times New Roman"/>
          <w:sz w:val="24"/>
          <w:szCs w:val="24"/>
        </w:rPr>
        <w:t xml:space="preserve"> It also displays why a close relationship between risk assessment and strategy development especially under social and economic terms</w:t>
      </w:r>
      <w:r w:rsidR="00D21F93" w:rsidRPr="00C55A61">
        <w:rPr>
          <w:rFonts w:ascii="Times New Roman" w:hAnsi="Times New Roman" w:cs="Times New Roman"/>
          <w:sz w:val="24"/>
          <w:szCs w:val="24"/>
        </w:rPr>
        <w:t xml:space="preserve"> is important</w:t>
      </w:r>
      <w:r w:rsidR="002354A5" w:rsidRPr="00C55A61">
        <w:rPr>
          <w:rFonts w:ascii="Times New Roman" w:hAnsi="Times New Roman" w:cs="Times New Roman"/>
          <w:sz w:val="24"/>
          <w:szCs w:val="24"/>
        </w:rPr>
        <w:t>.</w:t>
      </w:r>
      <w:r w:rsidR="00AF00D7" w:rsidRPr="00C55A61">
        <w:rPr>
          <w:rFonts w:ascii="Times New Roman" w:hAnsi="Times New Roman" w:cs="Times New Roman"/>
          <w:sz w:val="24"/>
          <w:szCs w:val="24"/>
        </w:rPr>
        <w:t xml:space="preserve"> Some of the major issues facing the housing market in UK include; expansion of the number of households by 250,000 every year, the rate at which houses are build is only half of what is required and the banking sector being unable to fund for more growth</w:t>
      </w:r>
      <w:r w:rsidR="008133E4" w:rsidRPr="00C55A61">
        <w:rPr>
          <w:rFonts w:ascii="Times New Roman" w:hAnsi="Times New Roman" w:cs="Times New Roman"/>
          <w:sz w:val="24"/>
          <w:szCs w:val="24"/>
        </w:rPr>
        <w:t xml:space="preserve"> (John, 2015, p.119).</w:t>
      </w:r>
      <w:r w:rsidR="00D21F93" w:rsidRPr="00C55A61">
        <w:rPr>
          <w:rFonts w:ascii="Times New Roman" w:hAnsi="Times New Roman" w:cs="Times New Roman"/>
          <w:sz w:val="24"/>
          <w:szCs w:val="24"/>
        </w:rPr>
        <w:t xml:space="preserve"> </w:t>
      </w:r>
      <w:r w:rsidR="006E3958" w:rsidRPr="00C55A61">
        <w:rPr>
          <w:rFonts w:ascii="Times New Roman" w:hAnsi="Times New Roman" w:cs="Times New Roman"/>
          <w:sz w:val="24"/>
          <w:szCs w:val="24"/>
        </w:rPr>
        <w:t>This paper will compare and contrast the Medium Sized Association and the South Wales Association.</w:t>
      </w:r>
      <w:r w:rsidR="005F1F33" w:rsidRPr="00C55A61">
        <w:rPr>
          <w:rFonts w:ascii="Times New Roman" w:hAnsi="Times New Roman" w:cs="Times New Roman"/>
          <w:sz w:val="24"/>
          <w:szCs w:val="24"/>
        </w:rPr>
        <w:t xml:space="preserve"> </w:t>
      </w:r>
    </w:p>
    <w:p w14:paraId="2A9526FA" w14:textId="40D9A36C" w:rsidR="005F1F33" w:rsidRPr="00C55A61" w:rsidRDefault="005F1F33" w:rsidP="00457C9F">
      <w:pPr>
        <w:spacing w:after="0" w:line="480" w:lineRule="auto"/>
        <w:rPr>
          <w:rFonts w:ascii="Times New Roman" w:hAnsi="Times New Roman" w:cs="Times New Roman"/>
          <w:sz w:val="24"/>
          <w:szCs w:val="24"/>
        </w:rPr>
      </w:pPr>
      <w:r w:rsidRPr="00C55A61">
        <w:rPr>
          <w:rFonts w:ascii="Times New Roman" w:hAnsi="Times New Roman" w:cs="Times New Roman"/>
          <w:sz w:val="24"/>
          <w:szCs w:val="24"/>
        </w:rPr>
        <w:t>Q1.1 An association that closely resembles a similar local</w:t>
      </w:r>
      <w:r w:rsidR="00D802F3" w:rsidRPr="00C55A61">
        <w:rPr>
          <w:rFonts w:ascii="Times New Roman" w:hAnsi="Times New Roman" w:cs="Times New Roman"/>
          <w:sz w:val="24"/>
          <w:szCs w:val="24"/>
        </w:rPr>
        <w:t xml:space="preserve"> area in Tampa Bay is the South Wales Association</w:t>
      </w:r>
      <w:r w:rsidR="00332D33" w:rsidRPr="00C55A61">
        <w:rPr>
          <w:rFonts w:ascii="Times New Roman" w:hAnsi="Times New Roman" w:cs="Times New Roman"/>
          <w:sz w:val="24"/>
          <w:szCs w:val="24"/>
        </w:rPr>
        <w:t>, this is because mainly both are located in depressed areas and they engage in social enterprise subsidiaries that help to provide employment in the areas (</w:t>
      </w:r>
      <w:r w:rsidR="00D21F93" w:rsidRPr="00C55A61">
        <w:rPr>
          <w:rFonts w:ascii="Times New Roman" w:hAnsi="Times New Roman" w:cs="Times New Roman"/>
          <w:sz w:val="24"/>
          <w:szCs w:val="24"/>
        </w:rPr>
        <w:t xml:space="preserve">John, 2015, </w:t>
      </w:r>
      <w:r w:rsidR="00332D33" w:rsidRPr="00C55A61">
        <w:rPr>
          <w:rFonts w:ascii="Times New Roman" w:hAnsi="Times New Roman" w:cs="Times New Roman"/>
          <w:sz w:val="24"/>
          <w:szCs w:val="24"/>
        </w:rPr>
        <w:t>p.126).</w:t>
      </w:r>
    </w:p>
    <w:p w14:paraId="3B7B9613" w14:textId="2C0DF442" w:rsidR="00332D33" w:rsidRPr="00C55A61" w:rsidRDefault="00D460E1" w:rsidP="00457C9F">
      <w:pPr>
        <w:spacing w:after="0" w:line="480" w:lineRule="auto"/>
        <w:rPr>
          <w:rFonts w:ascii="Times New Roman" w:hAnsi="Times New Roman" w:cs="Times New Roman"/>
          <w:sz w:val="24"/>
          <w:szCs w:val="24"/>
        </w:rPr>
      </w:pPr>
      <w:r w:rsidRPr="00C55A61">
        <w:rPr>
          <w:rFonts w:ascii="Times New Roman" w:hAnsi="Times New Roman" w:cs="Times New Roman"/>
          <w:sz w:val="24"/>
          <w:szCs w:val="24"/>
        </w:rPr>
        <w:t xml:space="preserve">Q1.2 the secondary UK housing association that I will include in this paper is the </w:t>
      </w:r>
      <w:bookmarkStart w:id="0" w:name="_Hlk11027668"/>
      <w:r w:rsidRPr="00C55A61">
        <w:rPr>
          <w:rFonts w:ascii="Times New Roman" w:hAnsi="Times New Roman" w:cs="Times New Roman"/>
          <w:sz w:val="24"/>
          <w:szCs w:val="24"/>
        </w:rPr>
        <w:t>South Wales Association.</w:t>
      </w:r>
    </w:p>
    <w:bookmarkEnd w:id="0"/>
    <w:p w14:paraId="0BF55245" w14:textId="5E2990F1" w:rsidR="004729F4" w:rsidRPr="00C55A61" w:rsidRDefault="004729F4" w:rsidP="00457C9F">
      <w:pPr>
        <w:spacing w:after="0" w:line="480" w:lineRule="auto"/>
        <w:rPr>
          <w:rFonts w:ascii="Times New Roman" w:hAnsi="Times New Roman" w:cs="Times New Roman"/>
          <w:sz w:val="24"/>
          <w:szCs w:val="24"/>
        </w:rPr>
      </w:pPr>
      <w:r w:rsidRPr="00C55A61">
        <w:rPr>
          <w:rFonts w:ascii="Times New Roman" w:hAnsi="Times New Roman" w:cs="Times New Roman"/>
          <w:sz w:val="24"/>
          <w:szCs w:val="24"/>
        </w:rPr>
        <w:t xml:space="preserve">Q2(a) </w:t>
      </w:r>
    </w:p>
    <w:p w14:paraId="0DC489E5" w14:textId="0A428C7A" w:rsidR="00147B6F" w:rsidRPr="00C55A61" w:rsidRDefault="00846240" w:rsidP="00457C9F">
      <w:pPr>
        <w:spacing w:after="0" w:line="480" w:lineRule="auto"/>
        <w:rPr>
          <w:rFonts w:ascii="Times New Roman" w:hAnsi="Times New Roman" w:cs="Times New Roman"/>
          <w:sz w:val="24"/>
          <w:szCs w:val="24"/>
        </w:rPr>
      </w:pPr>
      <w:r w:rsidRPr="00C55A61">
        <w:rPr>
          <w:rFonts w:ascii="Times New Roman" w:hAnsi="Times New Roman" w:cs="Times New Roman"/>
          <w:sz w:val="24"/>
          <w:szCs w:val="24"/>
        </w:rPr>
        <w:t xml:space="preserve">One of the </w:t>
      </w:r>
      <w:r w:rsidR="00F652D5" w:rsidRPr="00C55A61">
        <w:rPr>
          <w:rFonts w:ascii="Times New Roman" w:hAnsi="Times New Roman" w:cs="Times New Roman"/>
          <w:sz w:val="24"/>
          <w:szCs w:val="24"/>
        </w:rPr>
        <w:t>risks</w:t>
      </w:r>
      <w:r w:rsidR="000D0F6B" w:rsidRPr="00C55A61">
        <w:rPr>
          <w:rFonts w:ascii="Times New Roman" w:hAnsi="Times New Roman" w:cs="Times New Roman"/>
          <w:sz w:val="24"/>
          <w:szCs w:val="24"/>
        </w:rPr>
        <w:t xml:space="preserve"> </w:t>
      </w:r>
      <w:r w:rsidRPr="00C55A61">
        <w:rPr>
          <w:rFonts w:ascii="Times New Roman" w:hAnsi="Times New Roman" w:cs="Times New Roman"/>
          <w:sz w:val="24"/>
          <w:szCs w:val="24"/>
        </w:rPr>
        <w:t>that the South Wales Association and the Medium Sized Association face which are common include the welfare reform- where the welfare reforms are going to increase financial pressure on their tenants which eventually will get to the associations.</w:t>
      </w:r>
      <w:r w:rsidR="000D0F6B" w:rsidRPr="00C55A61">
        <w:rPr>
          <w:rFonts w:ascii="Times New Roman" w:hAnsi="Times New Roman" w:cs="Times New Roman"/>
          <w:sz w:val="24"/>
          <w:szCs w:val="24"/>
        </w:rPr>
        <w:t xml:space="preserve"> The RCT homes recently had permission to pilot around 200 properties which is a good thing but </w:t>
      </w:r>
      <w:r w:rsidR="00F652D5" w:rsidRPr="00C55A61">
        <w:rPr>
          <w:rFonts w:ascii="Times New Roman" w:hAnsi="Times New Roman" w:cs="Times New Roman"/>
          <w:sz w:val="24"/>
          <w:szCs w:val="24"/>
        </w:rPr>
        <w:t>unfortunately,</w:t>
      </w:r>
      <w:r w:rsidR="000D0F6B" w:rsidRPr="00C55A61">
        <w:rPr>
          <w:rFonts w:ascii="Times New Roman" w:hAnsi="Times New Roman" w:cs="Times New Roman"/>
          <w:sz w:val="24"/>
          <w:szCs w:val="24"/>
        </w:rPr>
        <w:t xml:space="preserve"> they have to get consent from their funders.</w:t>
      </w:r>
      <w:r w:rsidR="00F652D5" w:rsidRPr="00C55A61">
        <w:rPr>
          <w:rFonts w:ascii="Times New Roman" w:hAnsi="Times New Roman" w:cs="Times New Roman"/>
          <w:sz w:val="24"/>
          <w:szCs w:val="24"/>
        </w:rPr>
        <w:t xml:space="preserve"> While on the other hand </w:t>
      </w:r>
      <w:proofErr w:type="spellStart"/>
      <w:r w:rsidR="00F652D5" w:rsidRPr="00C55A61">
        <w:rPr>
          <w:rFonts w:ascii="Times New Roman" w:hAnsi="Times New Roman" w:cs="Times New Roman"/>
          <w:sz w:val="24"/>
          <w:szCs w:val="24"/>
        </w:rPr>
        <w:t>greensquare</w:t>
      </w:r>
      <w:proofErr w:type="spellEnd"/>
      <w:r w:rsidR="00F652D5" w:rsidRPr="00C55A61">
        <w:rPr>
          <w:rFonts w:ascii="Times New Roman" w:hAnsi="Times New Roman" w:cs="Times New Roman"/>
          <w:sz w:val="24"/>
          <w:szCs w:val="24"/>
        </w:rPr>
        <w:t xml:space="preserve"> face a danger </w:t>
      </w:r>
      <w:r w:rsidR="00F652D5" w:rsidRPr="00C55A61">
        <w:rPr>
          <w:rFonts w:ascii="Times New Roman" w:hAnsi="Times New Roman" w:cs="Times New Roman"/>
          <w:sz w:val="24"/>
          <w:szCs w:val="24"/>
        </w:rPr>
        <w:lastRenderedPageBreak/>
        <w:t>of reduced resident involvement in their projects which are supposed to reduce the running costs such as the gas servicing and renewable energy business.</w:t>
      </w:r>
    </w:p>
    <w:p w14:paraId="3613E210" w14:textId="78DD6D64" w:rsidR="00B51A49" w:rsidRPr="00C55A61" w:rsidRDefault="00B51A49" w:rsidP="00457C9F">
      <w:pPr>
        <w:spacing w:after="0" w:line="480" w:lineRule="auto"/>
        <w:rPr>
          <w:rFonts w:ascii="Times New Roman" w:hAnsi="Times New Roman" w:cs="Times New Roman"/>
          <w:sz w:val="24"/>
          <w:szCs w:val="24"/>
        </w:rPr>
      </w:pPr>
      <w:r w:rsidRPr="00C55A61">
        <w:rPr>
          <w:rFonts w:ascii="Times New Roman" w:hAnsi="Times New Roman" w:cs="Times New Roman"/>
          <w:sz w:val="24"/>
          <w:szCs w:val="24"/>
        </w:rPr>
        <w:t>Q2(b)</w:t>
      </w:r>
    </w:p>
    <w:p w14:paraId="61BA8352" w14:textId="5B4DE13E" w:rsidR="00B51A49" w:rsidRPr="00C55A61" w:rsidRDefault="007408DD" w:rsidP="00457C9F">
      <w:pPr>
        <w:spacing w:after="0" w:line="480" w:lineRule="auto"/>
        <w:rPr>
          <w:rFonts w:ascii="Times New Roman" w:hAnsi="Times New Roman" w:cs="Times New Roman"/>
          <w:sz w:val="24"/>
          <w:szCs w:val="24"/>
        </w:rPr>
      </w:pPr>
      <w:r w:rsidRPr="00C55A61">
        <w:rPr>
          <w:rFonts w:ascii="Times New Roman" w:hAnsi="Times New Roman" w:cs="Times New Roman"/>
          <w:sz w:val="24"/>
          <w:szCs w:val="24"/>
        </w:rPr>
        <w:t>Apparently,</w:t>
      </w:r>
      <w:r w:rsidR="00B51A49" w:rsidRPr="00C55A61">
        <w:rPr>
          <w:rFonts w:ascii="Times New Roman" w:hAnsi="Times New Roman" w:cs="Times New Roman"/>
          <w:sz w:val="24"/>
          <w:szCs w:val="24"/>
        </w:rPr>
        <w:t xml:space="preserve"> the product areas that the two associations are willing to offer include; building houses for sales, low cost home ownership, market renting, intermediate market renting services for the elderly etc.</w:t>
      </w:r>
      <w:r w:rsidRPr="00C55A61">
        <w:rPr>
          <w:rFonts w:ascii="Times New Roman" w:hAnsi="Times New Roman" w:cs="Times New Roman"/>
          <w:sz w:val="24"/>
          <w:szCs w:val="24"/>
        </w:rPr>
        <w:t xml:space="preserve"> In all this product areas there is a potential for risks and </w:t>
      </w:r>
      <w:proofErr w:type="gramStart"/>
      <w:r w:rsidRPr="00C55A61">
        <w:rPr>
          <w:rFonts w:ascii="Times New Roman" w:hAnsi="Times New Roman" w:cs="Times New Roman"/>
          <w:sz w:val="24"/>
          <w:szCs w:val="24"/>
        </w:rPr>
        <w:t>returns</w:t>
      </w:r>
      <w:r w:rsidR="00C55A61" w:rsidRPr="00C55A61">
        <w:rPr>
          <w:rFonts w:ascii="Times New Roman" w:hAnsi="Times New Roman" w:cs="Times New Roman"/>
          <w:sz w:val="24"/>
          <w:szCs w:val="24"/>
        </w:rPr>
        <w:t>,(</w:t>
      </w:r>
      <w:proofErr w:type="gramEnd"/>
      <w:r w:rsidR="00C55A61" w:rsidRPr="00C55A61">
        <w:rPr>
          <w:rFonts w:ascii="Times New Roman" w:hAnsi="Times New Roman" w:cs="Times New Roman"/>
          <w:sz w:val="24"/>
          <w:szCs w:val="24"/>
        </w:rPr>
        <w:t>Niehaus,</w:t>
      </w:r>
      <w:r w:rsidR="00C55A61" w:rsidRPr="00C55A61">
        <w:rPr>
          <w:rFonts w:ascii="Times New Roman" w:hAnsi="Times New Roman" w:cs="Times New Roman"/>
          <w:sz w:val="24"/>
          <w:szCs w:val="24"/>
        </w:rPr>
        <w:t xml:space="preserve"> </w:t>
      </w:r>
      <w:r w:rsidR="00C55A61" w:rsidRPr="00C55A61">
        <w:rPr>
          <w:rFonts w:ascii="Times New Roman" w:hAnsi="Times New Roman" w:cs="Times New Roman"/>
          <w:sz w:val="24"/>
          <w:szCs w:val="24"/>
        </w:rPr>
        <w:t>2017)</w:t>
      </w:r>
      <w:r w:rsidRPr="00C55A61">
        <w:rPr>
          <w:rFonts w:ascii="Times New Roman" w:hAnsi="Times New Roman" w:cs="Times New Roman"/>
          <w:sz w:val="24"/>
          <w:szCs w:val="24"/>
        </w:rPr>
        <w:t>.</w:t>
      </w:r>
      <w:r w:rsidR="00380BF6" w:rsidRPr="00C55A61">
        <w:rPr>
          <w:rFonts w:ascii="Times New Roman" w:hAnsi="Times New Roman" w:cs="Times New Roman"/>
          <w:sz w:val="24"/>
          <w:szCs w:val="24"/>
        </w:rPr>
        <w:t xml:space="preserve"> For </w:t>
      </w:r>
      <w:r w:rsidR="00C6602B" w:rsidRPr="00C55A61">
        <w:rPr>
          <w:rFonts w:ascii="Times New Roman" w:hAnsi="Times New Roman" w:cs="Times New Roman"/>
          <w:sz w:val="24"/>
          <w:szCs w:val="24"/>
        </w:rPr>
        <w:t>example,</w:t>
      </w:r>
      <w:r w:rsidR="00380BF6" w:rsidRPr="00C55A61">
        <w:rPr>
          <w:rFonts w:ascii="Times New Roman" w:hAnsi="Times New Roman" w:cs="Times New Roman"/>
          <w:sz w:val="24"/>
          <w:szCs w:val="24"/>
        </w:rPr>
        <w:t xml:space="preserve"> any product that may be related to any of their assets may face risks that will be associated with development, maintenance of the existing stock and liability related risks, meaning products such as market renting may have more risks than returns when compared to services to the elderly.</w:t>
      </w:r>
      <w:r w:rsidR="00C6602B" w:rsidRPr="00C55A61">
        <w:rPr>
          <w:rFonts w:ascii="Times New Roman" w:hAnsi="Times New Roman" w:cs="Times New Roman"/>
          <w:sz w:val="24"/>
          <w:szCs w:val="24"/>
        </w:rPr>
        <w:t xml:space="preserve"> Another important factor to consider when analyzing for risks and returns is the interaction of the product with the business models and the stock holdings</w:t>
      </w:r>
      <w:r w:rsidR="00C55A61" w:rsidRPr="00C55A61">
        <w:rPr>
          <w:rFonts w:ascii="Times New Roman" w:hAnsi="Times New Roman" w:cs="Times New Roman"/>
          <w:sz w:val="24"/>
          <w:szCs w:val="24"/>
        </w:rPr>
        <w:t>, (</w:t>
      </w:r>
      <w:r w:rsidR="00C55A61" w:rsidRPr="00C55A61">
        <w:rPr>
          <w:rFonts w:ascii="Times New Roman" w:hAnsi="Times New Roman" w:cs="Times New Roman"/>
          <w:color w:val="222222"/>
          <w:sz w:val="24"/>
          <w:szCs w:val="24"/>
          <w:shd w:val="clear" w:color="auto" w:fill="FFFFFF"/>
        </w:rPr>
        <w:t>Bromiley</w:t>
      </w:r>
      <w:r w:rsidR="00C55A61" w:rsidRPr="00C55A61">
        <w:rPr>
          <w:rFonts w:ascii="Times New Roman" w:hAnsi="Times New Roman" w:cs="Times New Roman"/>
          <w:color w:val="222222"/>
          <w:sz w:val="24"/>
          <w:szCs w:val="24"/>
          <w:shd w:val="clear" w:color="auto" w:fill="FFFFFF"/>
        </w:rPr>
        <w:t xml:space="preserve"> et al, 2015)</w:t>
      </w:r>
      <w:r w:rsidR="00C6602B" w:rsidRPr="00C55A61">
        <w:rPr>
          <w:rFonts w:ascii="Times New Roman" w:hAnsi="Times New Roman" w:cs="Times New Roman"/>
          <w:sz w:val="24"/>
          <w:szCs w:val="24"/>
        </w:rPr>
        <w:t>.</w:t>
      </w:r>
    </w:p>
    <w:p w14:paraId="1EAC25DF" w14:textId="1D4339DF" w:rsidR="00A634F4" w:rsidRPr="00C55A61" w:rsidRDefault="00A634F4" w:rsidP="00457C9F">
      <w:pPr>
        <w:spacing w:after="0" w:line="480" w:lineRule="auto"/>
        <w:rPr>
          <w:rFonts w:ascii="Times New Roman" w:hAnsi="Times New Roman" w:cs="Times New Roman"/>
          <w:sz w:val="24"/>
          <w:szCs w:val="24"/>
        </w:rPr>
      </w:pPr>
      <w:r w:rsidRPr="00C55A61">
        <w:rPr>
          <w:rFonts w:ascii="Times New Roman" w:hAnsi="Times New Roman" w:cs="Times New Roman"/>
          <w:sz w:val="24"/>
          <w:szCs w:val="24"/>
        </w:rPr>
        <w:t>Q3(c)</w:t>
      </w:r>
    </w:p>
    <w:p w14:paraId="7047A95D" w14:textId="2B174C25" w:rsidR="007B3EA9" w:rsidRPr="00C55A61" w:rsidRDefault="006F5FAE" w:rsidP="00581098">
      <w:pPr>
        <w:spacing w:after="0" w:line="480" w:lineRule="auto"/>
        <w:rPr>
          <w:rFonts w:ascii="Times New Roman" w:hAnsi="Times New Roman" w:cs="Times New Roman"/>
          <w:sz w:val="24"/>
          <w:szCs w:val="24"/>
        </w:rPr>
      </w:pPr>
      <w:r w:rsidRPr="00C55A61">
        <w:rPr>
          <w:rFonts w:ascii="Times New Roman" w:hAnsi="Times New Roman" w:cs="Times New Roman"/>
          <w:sz w:val="24"/>
          <w:szCs w:val="24"/>
        </w:rPr>
        <w:t xml:space="preserve">Many housing associations take risks that is within their risk capacity which is the correct thing to do and not the other way </w:t>
      </w:r>
      <w:r w:rsidR="00F2328B" w:rsidRPr="00C55A61">
        <w:rPr>
          <w:rFonts w:ascii="Times New Roman" w:hAnsi="Times New Roman" w:cs="Times New Roman"/>
          <w:sz w:val="24"/>
          <w:szCs w:val="24"/>
        </w:rPr>
        <w:t>around</w:t>
      </w:r>
      <w:r w:rsidRPr="00C55A61">
        <w:rPr>
          <w:rFonts w:ascii="Times New Roman" w:hAnsi="Times New Roman" w:cs="Times New Roman"/>
          <w:sz w:val="24"/>
          <w:szCs w:val="24"/>
        </w:rPr>
        <w:t>.</w:t>
      </w:r>
      <w:r w:rsidR="00F2328B" w:rsidRPr="00C55A61">
        <w:rPr>
          <w:rFonts w:ascii="Times New Roman" w:hAnsi="Times New Roman" w:cs="Times New Roman"/>
          <w:sz w:val="24"/>
          <w:szCs w:val="24"/>
        </w:rPr>
        <w:t xml:space="preserve"> When the associations are assessing the </w:t>
      </w:r>
      <w:r w:rsidR="005F3550" w:rsidRPr="00C55A61">
        <w:rPr>
          <w:rFonts w:ascii="Times New Roman" w:hAnsi="Times New Roman" w:cs="Times New Roman"/>
          <w:sz w:val="24"/>
          <w:szCs w:val="24"/>
        </w:rPr>
        <w:t>risks,</w:t>
      </w:r>
      <w:r w:rsidR="00F2328B" w:rsidRPr="00C55A61">
        <w:rPr>
          <w:rFonts w:ascii="Times New Roman" w:hAnsi="Times New Roman" w:cs="Times New Roman"/>
          <w:sz w:val="24"/>
          <w:szCs w:val="24"/>
        </w:rPr>
        <w:t xml:space="preserve"> they must know their implications or impacts. How many impacts</w:t>
      </w:r>
      <w:r w:rsidR="005F3550" w:rsidRPr="00C55A61">
        <w:rPr>
          <w:rFonts w:ascii="Times New Roman" w:hAnsi="Times New Roman" w:cs="Times New Roman"/>
          <w:sz w:val="24"/>
          <w:szCs w:val="24"/>
        </w:rPr>
        <w:t xml:space="preserve"> does the risk have</w:t>
      </w:r>
      <w:r w:rsidR="00017BBA" w:rsidRPr="00C55A61">
        <w:rPr>
          <w:rFonts w:ascii="Times New Roman" w:hAnsi="Times New Roman" w:cs="Times New Roman"/>
          <w:sz w:val="24"/>
          <w:szCs w:val="24"/>
        </w:rPr>
        <w:t>? I believe this is a good strategy that the associations should use as it also creates the chance for the association to score the impacts, describe them and strategize on them.</w:t>
      </w:r>
      <w:r w:rsidR="000B654C" w:rsidRPr="00C55A61">
        <w:rPr>
          <w:rFonts w:ascii="Times New Roman" w:hAnsi="Times New Roman" w:cs="Times New Roman"/>
          <w:sz w:val="24"/>
          <w:szCs w:val="24"/>
        </w:rPr>
        <w:t xml:space="preserve"> On choosing the correct generic strategy, the first one is appropriate; “to concentrate on continuing to provide good quality housing services to existing social housing tenants and their replacements, in a situation where local authority financing is being cut by up to 28 percent and support services are therefore likely to be cut. This policy helps those in need, reduces leverage, and conserves resources that could </w:t>
      </w:r>
      <w:r w:rsidR="000B654C" w:rsidRPr="00C55A61">
        <w:rPr>
          <w:rFonts w:ascii="Times New Roman" w:hAnsi="Times New Roman" w:cs="Times New Roman"/>
          <w:sz w:val="24"/>
          <w:szCs w:val="24"/>
        </w:rPr>
        <w:lastRenderedPageBreak/>
        <w:t>be used to support a more expansive policy in a better socioeconomic climate”</w:t>
      </w:r>
      <w:r w:rsidR="007B3EA9" w:rsidRPr="00C55A61">
        <w:rPr>
          <w:rFonts w:ascii="Times New Roman" w:hAnsi="Times New Roman" w:cs="Times New Roman"/>
          <w:sz w:val="24"/>
          <w:szCs w:val="24"/>
        </w:rPr>
        <w:t xml:space="preserve"> (John, 2015, p.123)</w:t>
      </w:r>
      <w:r w:rsidR="000B654C" w:rsidRPr="00C55A61">
        <w:rPr>
          <w:rFonts w:ascii="Times New Roman" w:hAnsi="Times New Roman" w:cs="Times New Roman"/>
          <w:sz w:val="24"/>
          <w:szCs w:val="24"/>
        </w:rPr>
        <w:t>.</w:t>
      </w:r>
    </w:p>
    <w:p w14:paraId="330604E1" w14:textId="77777777" w:rsidR="00C55A61" w:rsidRPr="00C55A61" w:rsidRDefault="00C55A61" w:rsidP="00581098">
      <w:pPr>
        <w:spacing w:after="0" w:line="480" w:lineRule="auto"/>
        <w:jc w:val="center"/>
        <w:rPr>
          <w:rFonts w:ascii="Times New Roman" w:hAnsi="Times New Roman" w:cs="Times New Roman"/>
          <w:sz w:val="24"/>
          <w:szCs w:val="24"/>
        </w:rPr>
      </w:pPr>
      <w:r w:rsidRPr="00C55A61">
        <w:rPr>
          <w:rFonts w:ascii="Times New Roman" w:hAnsi="Times New Roman" w:cs="Times New Roman"/>
          <w:sz w:val="24"/>
          <w:szCs w:val="24"/>
        </w:rPr>
        <w:br w:type="page"/>
      </w:r>
    </w:p>
    <w:p w14:paraId="633D119A" w14:textId="4E9486D9" w:rsidR="00581098" w:rsidRPr="00C55A61" w:rsidRDefault="00581098" w:rsidP="00581098">
      <w:pPr>
        <w:spacing w:after="0" w:line="480" w:lineRule="auto"/>
        <w:jc w:val="center"/>
        <w:rPr>
          <w:rFonts w:ascii="Times New Roman" w:hAnsi="Times New Roman" w:cs="Times New Roman"/>
          <w:sz w:val="24"/>
          <w:szCs w:val="24"/>
        </w:rPr>
      </w:pPr>
      <w:bookmarkStart w:id="1" w:name="_GoBack"/>
      <w:bookmarkEnd w:id="1"/>
      <w:r w:rsidRPr="00C55A61">
        <w:rPr>
          <w:rFonts w:ascii="Times New Roman" w:hAnsi="Times New Roman" w:cs="Times New Roman"/>
          <w:sz w:val="24"/>
          <w:szCs w:val="24"/>
        </w:rPr>
        <w:lastRenderedPageBreak/>
        <w:t xml:space="preserve">References </w:t>
      </w:r>
    </w:p>
    <w:p w14:paraId="38D92068" w14:textId="77777777" w:rsidR="00581098" w:rsidRPr="00C55A61" w:rsidRDefault="00581098" w:rsidP="00581098">
      <w:pPr>
        <w:spacing w:after="0" w:line="480" w:lineRule="auto"/>
        <w:ind w:left="720" w:hanging="720"/>
        <w:rPr>
          <w:rFonts w:ascii="Times New Roman" w:hAnsi="Times New Roman" w:cs="Times New Roman"/>
          <w:sz w:val="24"/>
          <w:szCs w:val="24"/>
        </w:rPr>
      </w:pPr>
      <w:r w:rsidRPr="00C55A61">
        <w:rPr>
          <w:rFonts w:ascii="Times New Roman" w:hAnsi="Times New Roman" w:cs="Times New Roman"/>
          <w:sz w:val="24"/>
          <w:szCs w:val="24"/>
        </w:rPr>
        <w:t xml:space="preserve">John R.S. Fraser, B. J. (2015). </w:t>
      </w:r>
      <w:r w:rsidRPr="00C55A61">
        <w:rPr>
          <w:rFonts w:ascii="Times New Roman" w:hAnsi="Times New Roman" w:cs="Times New Roman"/>
          <w:i/>
          <w:iCs/>
          <w:sz w:val="24"/>
          <w:szCs w:val="24"/>
        </w:rPr>
        <w:t xml:space="preserve">Implementing Enterprise Risk </w:t>
      </w:r>
      <w:r w:rsidRPr="00C55A61">
        <w:rPr>
          <w:rFonts w:ascii="Times New Roman" w:hAnsi="Times New Roman" w:cs="Times New Roman"/>
          <w:i/>
          <w:iCs/>
          <w:sz w:val="24"/>
          <w:szCs w:val="24"/>
        </w:rPr>
        <w:tab/>
        <w:t>Management.</w:t>
      </w:r>
      <w:r w:rsidRPr="00C55A61">
        <w:rPr>
          <w:rFonts w:ascii="Times New Roman" w:hAnsi="Times New Roman" w:cs="Times New Roman"/>
          <w:sz w:val="24"/>
          <w:szCs w:val="24"/>
        </w:rPr>
        <w:t xml:space="preserve">  New Jersey: Wiley &amp; Son, Inc.,</w:t>
      </w:r>
    </w:p>
    <w:p w14:paraId="7CBCF8FD" w14:textId="6D492C35" w:rsidR="00581098" w:rsidRPr="00C55A61" w:rsidRDefault="00581098" w:rsidP="00581098">
      <w:pPr>
        <w:spacing w:after="0" w:line="480" w:lineRule="auto"/>
        <w:ind w:left="720" w:hanging="720"/>
        <w:rPr>
          <w:rFonts w:ascii="Times New Roman" w:hAnsi="Times New Roman" w:cs="Times New Roman"/>
          <w:sz w:val="24"/>
          <w:szCs w:val="24"/>
        </w:rPr>
      </w:pPr>
      <w:r w:rsidRPr="00C55A61">
        <w:rPr>
          <w:rFonts w:ascii="Times New Roman" w:hAnsi="Times New Roman" w:cs="Times New Roman"/>
          <w:sz w:val="24"/>
          <w:szCs w:val="24"/>
        </w:rPr>
        <w:t xml:space="preserve">Cymru, L. (2019). Sector Risks Facing Housing in UK. Retrieved from </w:t>
      </w:r>
      <w:hyperlink r:id="rId7" w:history="1">
        <w:r w:rsidR="001F342C" w:rsidRPr="00C55A61">
          <w:rPr>
            <w:rStyle w:val="Hyperlink"/>
            <w:rFonts w:ascii="Times New Roman" w:hAnsi="Times New Roman" w:cs="Times New Roman"/>
            <w:sz w:val="24"/>
            <w:szCs w:val="24"/>
          </w:rPr>
          <w:t>https://gweddill.gov.wales/docs/desh/publications/160331-sector-risks-facing-housing-associations-en.pdf</w:t>
        </w:r>
      </w:hyperlink>
    </w:p>
    <w:p w14:paraId="0EE485B2" w14:textId="3F673BBD" w:rsidR="001F342C" w:rsidRPr="00C55A61" w:rsidRDefault="001F342C" w:rsidP="00581098">
      <w:pPr>
        <w:spacing w:after="0" w:line="480" w:lineRule="auto"/>
        <w:ind w:left="720" w:hanging="720"/>
        <w:rPr>
          <w:rFonts w:ascii="Times New Roman" w:hAnsi="Times New Roman" w:cs="Times New Roman"/>
          <w:color w:val="222222"/>
          <w:sz w:val="24"/>
          <w:szCs w:val="24"/>
          <w:shd w:val="clear" w:color="auto" w:fill="FFFFFF"/>
        </w:rPr>
      </w:pPr>
      <w:r w:rsidRPr="00C55A61">
        <w:rPr>
          <w:rFonts w:ascii="Times New Roman" w:hAnsi="Times New Roman" w:cs="Times New Roman"/>
          <w:color w:val="222222"/>
          <w:sz w:val="24"/>
          <w:szCs w:val="24"/>
          <w:shd w:val="clear" w:color="auto" w:fill="FFFFFF"/>
        </w:rPr>
        <w:t xml:space="preserve">Bromiley, P., McShane, M., Nair, A., &amp; </w:t>
      </w:r>
      <w:proofErr w:type="spellStart"/>
      <w:r w:rsidRPr="00C55A61">
        <w:rPr>
          <w:rFonts w:ascii="Times New Roman" w:hAnsi="Times New Roman" w:cs="Times New Roman"/>
          <w:color w:val="222222"/>
          <w:sz w:val="24"/>
          <w:szCs w:val="24"/>
          <w:shd w:val="clear" w:color="auto" w:fill="FFFFFF"/>
        </w:rPr>
        <w:t>Rustambekov</w:t>
      </w:r>
      <w:proofErr w:type="spellEnd"/>
      <w:r w:rsidRPr="00C55A61">
        <w:rPr>
          <w:rFonts w:ascii="Times New Roman" w:hAnsi="Times New Roman" w:cs="Times New Roman"/>
          <w:color w:val="222222"/>
          <w:sz w:val="24"/>
          <w:szCs w:val="24"/>
          <w:shd w:val="clear" w:color="auto" w:fill="FFFFFF"/>
        </w:rPr>
        <w:t>, E. (2015). Enterprise risk management: Review, critique, and research directions. </w:t>
      </w:r>
      <w:r w:rsidRPr="00C55A61">
        <w:rPr>
          <w:rFonts w:ascii="Times New Roman" w:hAnsi="Times New Roman" w:cs="Times New Roman"/>
          <w:i/>
          <w:iCs/>
          <w:color w:val="222222"/>
          <w:sz w:val="24"/>
          <w:szCs w:val="24"/>
          <w:shd w:val="clear" w:color="auto" w:fill="FFFFFF"/>
        </w:rPr>
        <w:t>Long range planning</w:t>
      </w:r>
      <w:r w:rsidRPr="00C55A61">
        <w:rPr>
          <w:rFonts w:ascii="Times New Roman" w:hAnsi="Times New Roman" w:cs="Times New Roman"/>
          <w:color w:val="222222"/>
          <w:sz w:val="24"/>
          <w:szCs w:val="24"/>
          <w:shd w:val="clear" w:color="auto" w:fill="FFFFFF"/>
        </w:rPr>
        <w:t>, </w:t>
      </w:r>
      <w:r w:rsidRPr="00C55A61">
        <w:rPr>
          <w:rFonts w:ascii="Times New Roman" w:hAnsi="Times New Roman" w:cs="Times New Roman"/>
          <w:i/>
          <w:iCs/>
          <w:color w:val="222222"/>
          <w:sz w:val="24"/>
          <w:szCs w:val="24"/>
          <w:shd w:val="clear" w:color="auto" w:fill="FFFFFF"/>
        </w:rPr>
        <w:t>48</w:t>
      </w:r>
      <w:r w:rsidRPr="00C55A61">
        <w:rPr>
          <w:rFonts w:ascii="Times New Roman" w:hAnsi="Times New Roman" w:cs="Times New Roman"/>
          <w:color w:val="222222"/>
          <w:sz w:val="24"/>
          <w:szCs w:val="24"/>
          <w:shd w:val="clear" w:color="auto" w:fill="FFFFFF"/>
        </w:rPr>
        <w:t>(4), 265-276.</w:t>
      </w:r>
    </w:p>
    <w:p w14:paraId="766B9BCC" w14:textId="4A519AC1" w:rsidR="00C55A61" w:rsidRPr="00C55A61" w:rsidRDefault="00C55A61" w:rsidP="00581098">
      <w:pPr>
        <w:spacing w:after="0" w:line="480" w:lineRule="auto"/>
        <w:ind w:left="720" w:hanging="720"/>
        <w:rPr>
          <w:rFonts w:ascii="Times New Roman" w:hAnsi="Times New Roman" w:cs="Times New Roman"/>
          <w:sz w:val="24"/>
          <w:szCs w:val="24"/>
        </w:rPr>
      </w:pPr>
      <w:bookmarkStart w:id="2" w:name="_Hlk11034439"/>
      <w:r w:rsidRPr="00C55A61">
        <w:rPr>
          <w:rFonts w:ascii="Times New Roman" w:hAnsi="Times New Roman" w:cs="Times New Roman"/>
          <w:color w:val="222222"/>
          <w:sz w:val="24"/>
          <w:szCs w:val="24"/>
          <w:shd w:val="clear" w:color="auto" w:fill="FFFFFF"/>
        </w:rPr>
        <w:t>Niehaus, G. (2017).</w:t>
      </w:r>
      <w:bookmarkEnd w:id="2"/>
      <w:r w:rsidRPr="00C55A61">
        <w:rPr>
          <w:rFonts w:ascii="Times New Roman" w:hAnsi="Times New Roman" w:cs="Times New Roman"/>
          <w:color w:val="222222"/>
          <w:sz w:val="24"/>
          <w:szCs w:val="24"/>
          <w:shd w:val="clear" w:color="auto" w:fill="FFFFFF"/>
        </w:rPr>
        <w:t xml:space="preserve"> Enterprise Risk Management and the Risk Management Process. In </w:t>
      </w:r>
      <w:proofErr w:type="gramStart"/>
      <w:r w:rsidRPr="00C55A61">
        <w:rPr>
          <w:rFonts w:ascii="Times New Roman" w:hAnsi="Times New Roman" w:cs="Times New Roman"/>
          <w:i/>
          <w:iCs/>
          <w:color w:val="222222"/>
          <w:sz w:val="24"/>
          <w:szCs w:val="24"/>
          <w:shd w:val="clear" w:color="auto" w:fill="FFFFFF"/>
        </w:rPr>
        <w:t>The</w:t>
      </w:r>
      <w:proofErr w:type="gramEnd"/>
      <w:r w:rsidRPr="00C55A61">
        <w:rPr>
          <w:rFonts w:ascii="Times New Roman" w:hAnsi="Times New Roman" w:cs="Times New Roman"/>
          <w:i/>
          <w:iCs/>
          <w:color w:val="222222"/>
          <w:sz w:val="24"/>
          <w:szCs w:val="24"/>
          <w:shd w:val="clear" w:color="auto" w:fill="FFFFFF"/>
        </w:rPr>
        <w:t xml:space="preserve"> Palgrave Handbook of Unconventional Risk Transfer</w:t>
      </w:r>
      <w:r w:rsidRPr="00C55A61">
        <w:rPr>
          <w:rFonts w:ascii="Times New Roman" w:hAnsi="Times New Roman" w:cs="Times New Roman"/>
          <w:color w:val="222222"/>
          <w:sz w:val="24"/>
          <w:szCs w:val="24"/>
          <w:shd w:val="clear" w:color="auto" w:fill="FFFFFF"/>
        </w:rPr>
        <w:t> (pp. 109-142). Palgrave Macmillan, Cham.</w:t>
      </w:r>
    </w:p>
    <w:p w14:paraId="37D0E063" w14:textId="77777777" w:rsidR="00581098" w:rsidRPr="00C55A61" w:rsidRDefault="00581098" w:rsidP="00581098">
      <w:pPr>
        <w:spacing w:after="0" w:line="480" w:lineRule="auto"/>
        <w:jc w:val="center"/>
        <w:rPr>
          <w:rFonts w:ascii="Times New Roman" w:hAnsi="Times New Roman" w:cs="Times New Roman"/>
          <w:sz w:val="24"/>
          <w:szCs w:val="24"/>
        </w:rPr>
      </w:pPr>
    </w:p>
    <w:p w14:paraId="1AC33C8E" w14:textId="77777777" w:rsidR="007B3EA9" w:rsidRPr="00C55A61" w:rsidRDefault="007B3EA9" w:rsidP="00457C9F">
      <w:pPr>
        <w:spacing w:after="0" w:line="480" w:lineRule="auto"/>
        <w:jc w:val="center"/>
        <w:rPr>
          <w:rFonts w:ascii="Times New Roman" w:hAnsi="Times New Roman" w:cs="Times New Roman"/>
          <w:sz w:val="24"/>
          <w:szCs w:val="24"/>
        </w:rPr>
      </w:pPr>
    </w:p>
    <w:p w14:paraId="6FA67B4C" w14:textId="77777777" w:rsidR="007B3EA9" w:rsidRPr="00C55A61" w:rsidRDefault="007B3EA9" w:rsidP="00457C9F">
      <w:pPr>
        <w:spacing w:after="0" w:line="480" w:lineRule="auto"/>
        <w:jc w:val="center"/>
        <w:rPr>
          <w:rFonts w:ascii="Times New Roman" w:hAnsi="Times New Roman" w:cs="Times New Roman"/>
          <w:sz w:val="24"/>
          <w:szCs w:val="24"/>
        </w:rPr>
      </w:pPr>
    </w:p>
    <w:p w14:paraId="66068C59" w14:textId="77777777" w:rsidR="007B3EA9" w:rsidRPr="00C55A61" w:rsidRDefault="007B3EA9" w:rsidP="00457C9F">
      <w:pPr>
        <w:spacing w:after="0" w:line="480" w:lineRule="auto"/>
        <w:jc w:val="center"/>
        <w:rPr>
          <w:rFonts w:ascii="Times New Roman" w:hAnsi="Times New Roman" w:cs="Times New Roman"/>
          <w:sz w:val="24"/>
          <w:szCs w:val="24"/>
        </w:rPr>
      </w:pPr>
    </w:p>
    <w:p w14:paraId="3FEB2F78" w14:textId="77777777" w:rsidR="007B3EA9" w:rsidRPr="00C55A61" w:rsidRDefault="007B3EA9" w:rsidP="00457C9F">
      <w:pPr>
        <w:spacing w:after="0" w:line="480" w:lineRule="auto"/>
        <w:jc w:val="center"/>
        <w:rPr>
          <w:rFonts w:ascii="Times New Roman" w:hAnsi="Times New Roman" w:cs="Times New Roman"/>
          <w:sz w:val="24"/>
          <w:szCs w:val="24"/>
        </w:rPr>
      </w:pPr>
    </w:p>
    <w:p w14:paraId="6B2A1D6B" w14:textId="77777777" w:rsidR="007B3EA9" w:rsidRPr="00C55A61" w:rsidRDefault="007B3EA9" w:rsidP="00457C9F">
      <w:pPr>
        <w:spacing w:after="0" w:line="480" w:lineRule="auto"/>
        <w:jc w:val="center"/>
        <w:rPr>
          <w:rFonts w:ascii="Times New Roman" w:hAnsi="Times New Roman" w:cs="Times New Roman"/>
          <w:sz w:val="24"/>
          <w:szCs w:val="24"/>
        </w:rPr>
      </w:pPr>
    </w:p>
    <w:p w14:paraId="1DA60BB1" w14:textId="77777777" w:rsidR="007B3EA9" w:rsidRPr="00C55A61" w:rsidRDefault="007B3EA9" w:rsidP="00457C9F">
      <w:pPr>
        <w:spacing w:after="0" w:line="480" w:lineRule="auto"/>
        <w:jc w:val="center"/>
        <w:rPr>
          <w:rFonts w:ascii="Times New Roman" w:hAnsi="Times New Roman" w:cs="Times New Roman"/>
          <w:sz w:val="24"/>
          <w:szCs w:val="24"/>
        </w:rPr>
      </w:pPr>
    </w:p>
    <w:p w14:paraId="5D669B93" w14:textId="77777777" w:rsidR="007B3EA9" w:rsidRPr="00C55A61" w:rsidRDefault="007B3EA9" w:rsidP="00457C9F">
      <w:pPr>
        <w:spacing w:after="0" w:line="480" w:lineRule="auto"/>
        <w:jc w:val="center"/>
        <w:rPr>
          <w:rFonts w:ascii="Times New Roman" w:hAnsi="Times New Roman" w:cs="Times New Roman"/>
          <w:sz w:val="24"/>
          <w:szCs w:val="24"/>
        </w:rPr>
      </w:pPr>
    </w:p>
    <w:p w14:paraId="62FAC018" w14:textId="77777777" w:rsidR="007B3EA9" w:rsidRPr="00C55A61" w:rsidRDefault="007B3EA9" w:rsidP="00457C9F">
      <w:pPr>
        <w:spacing w:after="0" w:line="480" w:lineRule="auto"/>
        <w:jc w:val="center"/>
        <w:rPr>
          <w:rFonts w:ascii="Times New Roman" w:hAnsi="Times New Roman" w:cs="Times New Roman"/>
          <w:sz w:val="24"/>
          <w:szCs w:val="24"/>
        </w:rPr>
      </w:pPr>
    </w:p>
    <w:p w14:paraId="79B671F4" w14:textId="77777777" w:rsidR="007B3EA9" w:rsidRPr="00C55A61" w:rsidRDefault="007B3EA9" w:rsidP="00457C9F">
      <w:pPr>
        <w:spacing w:after="0" w:line="480" w:lineRule="auto"/>
        <w:jc w:val="center"/>
        <w:rPr>
          <w:rFonts w:ascii="Times New Roman" w:hAnsi="Times New Roman" w:cs="Times New Roman"/>
          <w:sz w:val="24"/>
          <w:szCs w:val="24"/>
        </w:rPr>
      </w:pPr>
    </w:p>
    <w:p w14:paraId="6460457F" w14:textId="77777777" w:rsidR="007B3EA9" w:rsidRPr="00C55A61" w:rsidRDefault="007B3EA9" w:rsidP="00457C9F">
      <w:pPr>
        <w:spacing w:after="0" w:line="480" w:lineRule="auto"/>
        <w:jc w:val="center"/>
        <w:rPr>
          <w:rFonts w:ascii="Times New Roman" w:hAnsi="Times New Roman" w:cs="Times New Roman"/>
          <w:sz w:val="24"/>
          <w:szCs w:val="24"/>
        </w:rPr>
      </w:pPr>
    </w:p>
    <w:p w14:paraId="137F9B46" w14:textId="77777777" w:rsidR="007B3EA9" w:rsidRPr="00C55A61" w:rsidRDefault="007B3EA9" w:rsidP="00457C9F">
      <w:pPr>
        <w:spacing w:after="0" w:line="480" w:lineRule="auto"/>
        <w:jc w:val="center"/>
        <w:rPr>
          <w:rFonts w:ascii="Times New Roman" w:hAnsi="Times New Roman" w:cs="Times New Roman"/>
          <w:sz w:val="24"/>
          <w:szCs w:val="24"/>
        </w:rPr>
      </w:pPr>
    </w:p>
    <w:p w14:paraId="0E0B1111" w14:textId="77777777" w:rsidR="007B3EA9" w:rsidRPr="00C55A61" w:rsidRDefault="007B3EA9" w:rsidP="00457C9F">
      <w:pPr>
        <w:spacing w:after="0" w:line="480" w:lineRule="auto"/>
        <w:jc w:val="center"/>
        <w:rPr>
          <w:rFonts w:ascii="Times New Roman" w:hAnsi="Times New Roman" w:cs="Times New Roman"/>
          <w:sz w:val="24"/>
          <w:szCs w:val="24"/>
        </w:rPr>
      </w:pPr>
    </w:p>
    <w:p w14:paraId="16C81781" w14:textId="77777777" w:rsidR="007B3EA9" w:rsidRPr="00C55A61" w:rsidRDefault="007B3EA9" w:rsidP="00457C9F">
      <w:pPr>
        <w:spacing w:after="0" w:line="480" w:lineRule="auto"/>
        <w:jc w:val="center"/>
        <w:rPr>
          <w:rFonts w:ascii="Times New Roman" w:hAnsi="Times New Roman" w:cs="Times New Roman"/>
          <w:sz w:val="24"/>
          <w:szCs w:val="24"/>
        </w:rPr>
      </w:pPr>
    </w:p>
    <w:p w14:paraId="7C32B013" w14:textId="77777777" w:rsidR="007B3EA9" w:rsidRPr="00C55A61" w:rsidRDefault="007B3EA9" w:rsidP="00457C9F">
      <w:pPr>
        <w:spacing w:after="0" w:line="480" w:lineRule="auto"/>
        <w:jc w:val="center"/>
        <w:rPr>
          <w:rFonts w:ascii="Times New Roman" w:hAnsi="Times New Roman" w:cs="Times New Roman"/>
          <w:sz w:val="24"/>
          <w:szCs w:val="24"/>
        </w:rPr>
      </w:pPr>
    </w:p>
    <w:p w14:paraId="0AB377E6" w14:textId="77777777" w:rsidR="007B3EA9" w:rsidRPr="00C55A61" w:rsidRDefault="007B3EA9" w:rsidP="00457C9F">
      <w:pPr>
        <w:spacing w:after="0" w:line="480" w:lineRule="auto"/>
        <w:jc w:val="center"/>
        <w:rPr>
          <w:rFonts w:ascii="Times New Roman" w:hAnsi="Times New Roman" w:cs="Times New Roman"/>
          <w:sz w:val="24"/>
          <w:szCs w:val="24"/>
        </w:rPr>
      </w:pPr>
    </w:p>
    <w:p w14:paraId="2CD715BD" w14:textId="77777777" w:rsidR="007B3EA9" w:rsidRPr="00C55A61" w:rsidRDefault="007B3EA9" w:rsidP="00457C9F">
      <w:pPr>
        <w:spacing w:after="0" w:line="480" w:lineRule="auto"/>
        <w:jc w:val="center"/>
        <w:rPr>
          <w:rFonts w:ascii="Times New Roman" w:hAnsi="Times New Roman" w:cs="Times New Roman"/>
          <w:sz w:val="24"/>
          <w:szCs w:val="24"/>
        </w:rPr>
      </w:pPr>
    </w:p>
    <w:sectPr w:rsidR="007B3EA9" w:rsidRPr="00C55A61" w:rsidSect="00A865A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1E3407" w14:textId="77777777" w:rsidR="001B28B2" w:rsidRDefault="001B28B2" w:rsidP="00A865AB">
      <w:pPr>
        <w:spacing w:after="0" w:line="240" w:lineRule="auto"/>
      </w:pPr>
      <w:r>
        <w:separator/>
      </w:r>
    </w:p>
  </w:endnote>
  <w:endnote w:type="continuationSeparator" w:id="0">
    <w:p w14:paraId="6F9ACC74" w14:textId="77777777" w:rsidR="001B28B2" w:rsidRDefault="001B28B2" w:rsidP="00A86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6A3627" w14:textId="77777777" w:rsidR="001B28B2" w:rsidRDefault="001B28B2" w:rsidP="00A865AB">
      <w:pPr>
        <w:spacing w:after="0" w:line="240" w:lineRule="auto"/>
      </w:pPr>
      <w:r>
        <w:separator/>
      </w:r>
    </w:p>
  </w:footnote>
  <w:footnote w:type="continuationSeparator" w:id="0">
    <w:p w14:paraId="1F88603B" w14:textId="77777777" w:rsidR="001B28B2" w:rsidRDefault="001B28B2" w:rsidP="00A865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2508D0" w14:textId="5C0AE978" w:rsidR="00A865AB" w:rsidRPr="00A865AB" w:rsidRDefault="00A865AB">
    <w:pPr>
      <w:pStyle w:val="Header"/>
      <w:rPr>
        <w:rFonts w:ascii="Times New Roman" w:hAnsi="Times New Roman" w:cs="Times New Roman"/>
        <w:sz w:val="24"/>
        <w:szCs w:val="24"/>
      </w:rPr>
    </w:pPr>
    <w:r>
      <w:t xml:space="preserve"> </w:t>
    </w:r>
    <w:r w:rsidRPr="00A865AB">
      <w:rPr>
        <w:rFonts w:ascii="Times New Roman" w:hAnsi="Times New Roman" w:cs="Times New Roman"/>
        <w:sz w:val="24"/>
        <w:szCs w:val="24"/>
      </w:rPr>
      <w:t xml:space="preserve">HOUSING ASSOCIATIONS                                                                                                        </w:t>
    </w:r>
    <w:r w:rsidRPr="00A865AB">
      <w:rPr>
        <w:rFonts w:ascii="Times New Roman" w:hAnsi="Times New Roman" w:cs="Times New Roman"/>
        <w:sz w:val="24"/>
        <w:szCs w:val="24"/>
      </w:rPr>
      <w:fldChar w:fldCharType="begin"/>
    </w:r>
    <w:r w:rsidRPr="00A865AB">
      <w:rPr>
        <w:rFonts w:ascii="Times New Roman" w:hAnsi="Times New Roman" w:cs="Times New Roman"/>
        <w:sz w:val="24"/>
        <w:szCs w:val="24"/>
      </w:rPr>
      <w:instrText xml:space="preserve"> PAGE   \* MERGEFORMAT </w:instrText>
    </w:r>
    <w:r w:rsidRPr="00A865AB">
      <w:rPr>
        <w:rFonts w:ascii="Times New Roman" w:hAnsi="Times New Roman" w:cs="Times New Roman"/>
        <w:sz w:val="24"/>
        <w:szCs w:val="24"/>
      </w:rPr>
      <w:fldChar w:fldCharType="separate"/>
    </w:r>
    <w:r w:rsidRPr="00A865AB">
      <w:rPr>
        <w:rFonts w:ascii="Times New Roman" w:hAnsi="Times New Roman" w:cs="Times New Roman"/>
        <w:noProof/>
        <w:sz w:val="24"/>
        <w:szCs w:val="24"/>
      </w:rPr>
      <w:t>1</w:t>
    </w:r>
    <w:r w:rsidRPr="00A865AB">
      <w:rPr>
        <w:rFonts w:ascii="Times New Roman" w:hAnsi="Times New Roman" w:cs="Times New Roman"/>
        <w:noProof/>
        <w:sz w:val="24"/>
        <w:szCs w:val="24"/>
      </w:rPr>
      <w:fldChar w:fldCharType="end"/>
    </w:r>
    <w:r w:rsidRPr="00A865AB">
      <w:rPr>
        <w:rFonts w:ascii="Times New Roman" w:hAnsi="Times New Roman" w:cs="Times New Roman"/>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AA8246" w14:textId="4A36C33B" w:rsidR="00A865AB" w:rsidRPr="00A865AB" w:rsidRDefault="00A865AB">
    <w:pPr>
      <w:pStyle w:val="Header"/>
      <w:rPr>
        <w:rFonts w:ascii="Times New Roman" w:hAnsi="Times New Roman" w:cs="Times New Roman"/>
        <w:sz w:val="24"/>
        <w:szCs w:val="24"/>
      </w:rPr>
    </w:pPr>
    <w:r w:rsidRPr="00A865AB">
      <w:rPr>
        <w:rFonts w:ascii="Times New Roman" w:hAnsi="Times New Roman" w:cs="Times New Roman"/>
        <w:sz w:val="24"/>
        <w:szCs w:val="24"/>
      </w:rPr>
      <w:t xml:space="preserve">Running head; HOUSING ASSOCIATIONS                                                                                 </w:t>
    </w:r>
    <w:r w:rsidRPr="00A865AB">
      <w:rPr>
        <w:rFonts w:ascii="Times New Roman" w:hAnsi="Times New Roman" w:cs="Times New Roman"/>
        <w:sz w:val="24"/>
        <w:szCs w:val="24"/>
      </w:rPr>
      <w:fldChar w:fldCharType="begin"/>
    </w:r>
    <w:r w:rsidRPr="00A865AB">
      <w:rPr>
        <w:rFonts w:ascii="Times New Roman" w:hAnsi="Times New Roman" w:cs="Times New Roman"/>
        <w:sz w:val="24"/>
        <w:szCs w:val="24"/>
      </w:rPr>
      <w:instrText xml:space="preserve"> PAGE   \* MERGEFORMAT </w:instrText>
    </w:r>
    <w:r w:rsidRPr="00A865AB">
      <w:rPr>
        <w:rFonts w:ascii="Times New Roman" w:hAnsi="Times New Roman" w:cs="Times New Roman"/>
        <w:sz w:val="24"/>
        <w:szCs w:val="24"/>
      </w:rPr>
      <w:fldChar w:fldCharType="separate"/>
    </w:r>
    <w:r w:rsidRPr="00A865AB">
      <w:rPr>
        <w:rFonts w:ascii="Times New Roman" w:hAnsi="Times New Roman" w:cs="Times New Roman"/>
        <w:noProof/>
        <w:sz w:val="24"/>
        <w:szCs w:val="24"/>
      </w:rPr>
      <w:t>1</w:t>
    </w:r>
    <w:r w:rsidRPr="00A865A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5AB"/>
    <w:rsid w:val="00017BBA"/>
    <w:rsid w:val="000B654C"/>
    <w:rsid w:val="000D0F6B"/>
    <w:rsid w:val="00147B6F"/>
    <w:rsid w:val="00150BF4"/>
    <w:rsid w:val="0018619B"/>
    <w:rsid w:val="001B28B2"/>
    <w:rsid w:val="001F342C"/>
    <w:rsid w:val="002354A5"/>
    <w:rsid w:val="00332D33"/>
    <w:rsid w:val="00380BF6"/>
    <w:rsid w:val="004118E6"/>
    <w:rsid w:val="00457C9F"/>
    <w:rsid w:val="004729F4"/>
    <w:rsid w:val="004A3A89"/>
    <w:rsid w:val="00502C6D"/>
    <w:rsid w:val="0057735E"/>
    <w:rsid w:val="00581098"/>
    <w:rsid w:val="005F1F33"/>
    <w:rsid w:val="005F3550"/>
    <w:rsid w:val="006E3958"/>
    <w:rsid w:val="006F5FAE"/>
    <w:rsid w:val="007408DD"/>
    <w:rsid w:val="007B3EA9"/>
    <w:rsid w:val="008133E4"/>
    <w:rsid w:val="00846240"/>
    <w:rsid w:val="00A634F4"/>
    <w:rsid w:val="00A865AB"/>
    <w:rsid w:val="00AF00D7"/>
    <w:rsid w:val="00B51A49"/>
    <w:rsid w:val="00C55A61"/>
    <w:rsid w:val="00C6602B"/>
    <w:rsid w:val="00D21F93"/>
    <w:rsid w:val="00D460E1"/>
    <w:rsid w:val="00D63367"/>
    <w:rsid w:val="00D802F3"/>
    <w:rsid w:val="00F2328B"/>
    <w:rsid w:val="00F65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41100"/>
  <w15:chartTrackingRefBased/>
  <w15:docId w15:val="{06562EE5-6EA0-4913-8BFD-4CA48C9CA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65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65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5AB"/>
  </w:style>
  <w:style w:type="paragraph" w:styleId="Footer">
    <w:name w:val="footer"/>
    <w:basedOn w:val="Normal"/>
    <w:link w:val="FooterChar"/>
    <w:uiPriority w:val="99"/>
    <w:unhideWhenUsed/>
    <w:rsid w:val="00A865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65AB"/>
  </w:style>
  <w:style w:type="character" w:customStyle="1" w:styleId="Heading1Char">
    <w:name w:val="Heading 1 Char"/>
    <w:basedOn w:val="DefaultParagraphFont"/>
    <w:link w:val="Heading1"/>
    <w:uiPriority w:val="9"/>
    <w:rsid w:val="00A865AB"/>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1F342C"/>
    <w:rPr>
      <w:color w:val="0563C1" w:themeColor="hyperlink"/>
      <w:u w:val="single"/>
    </w:rPr>
  </w:style>
  <w:style w:type="character" w:styleId="UnresolvedMention">
    <w:name w:val="Unresolved Mention"/>
    <w:basedOn w:val="DefaultParagraphFont"/>
    <w:uiPriority w:val="99"/>
    <w:semiHidden/>
    <w:unhideWhenUsed/>
    <w:rsid w:val="001F3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1496062">
      <w:bodyDiv w:val="1"/>
      <w:marLeft w:val="0"/>
      <w:marRight w:val="0"/>
      <w:marTop w:val="0"/>
      <w:marBottom w:val="0"/>
      <w:divBdr>
        <w:top w:val="none" w:sz="0" w:space="0" w:color="auto"/>
        <w:left w:val="none" w:sz="0" w:space="0" w:color="auto"/>
        <w:bottom w:val="none" w:sz="0" w:space="0" w:color="auto"/>
        <w:right w:val="none" w:sz="0" w:space="0" w:color="auto"/>
      </w:divBdr>
    </w:div>
    <w:div w:id="73986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gweddill.gov.wales/docs/desh/publications/160331-sector-risks-facing-housing-associations-en.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D690B-F275-4B33-BCE3-8D4C24679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672</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bree</dc:creator>
  <cp:keywords/>
  <dc:description/>
  <cp:lastModifiedBy>Pavilion</cp:lastModifiedBy>
  <cp:revision>3</cp:revision>
  <dcterms:created xsi:type="dcterms:W3CDTF">2019-06-10T01:14:00Z</dcterms:created>
  <dcterms:modified xsi:type="dcterms:W3CDTF">2019-06-10T01:48:00Z</dcterms:modified>
</cp:coreProperties>
</file>